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24 160 vom 4. Februar 2025</w:t>
      </w:r>
    </w:p>
    <w:p>
      <w:r>
        <w:t>VS Kantonsgericht, 2025-02-04, FR</w:t>
      </w:r>
    </w:p>
    <w:p>
      <w:r>
        <w:rPr>
          <w:b/>
        </w:rPr>
        <w:t xml:space="preserve">Quelle: </w:t>
      </w:r>
      <w:r>
        <w:t>https://mcp.opencaselaw.ch/entscheid/vs_gerichte_A1 24 160</w:t>
      </w:r>
    </w:p>
    <w:p>
      <w:r>
        <w:t>FR: VS_GERICHTE A1 24 160 du 4 février 2025</w:t>
      </w:r>
    </w:p>
    <w:p>
      <w:r>
        <w:t>IT: VS_GERICHTE A1 24 160 del 4 febbraio 2025</w:t>
      </w:r>
    </w:p>
    <w:p>
      <w:pPr>
        <w:pStyle w:val="Heading2"/>
      </w:pPr>
      <w:r>
        <w:t>Regeste</w:t>
      </w:r>
    </w:p>
    <w:p>
      <w:r>
        <w:t>Par arrêt du 4 février 2025 (7B_1242/2024), le Tribunal fédéral a déclaré irrecevable le recours en matière de droit public interjeté par X_ contre ce jugement A1 24 160 ARRÊT DU 14 OCTOBRE 2024 Tribunal cantonal Cour de droit public Le juge soussigné de la Cour de droit public du Tribunal cantonal statuant au vu des art. 72 ss de la loi du 6 octobre 1976 sur la procédure et la juridiction administratives (LPJA ; RS/VS 172.6) et de l’art. 26 al. 3 de la loi d’application, datée du 12 mai 2017 (LACP ; RS/VS 311.1), du code pénal suisse du 21 décembre 1937 (CP ; RS 311.0) en la cause X _________, recourant contre OFFICE DES SANCTIONS ET DES MESURES D’ACCOMPAGNEMENT, autorité attaquée (exécution des peines)</w:t>
      </w:r>
    </w:p>
    <w:p>
      <w:pPr>
        <w:pStyle w:val="Heading2"/>
      </w:pPr>
      <w:r>
        <w:t>Erwägungen</w:t>
      </w:r>
    </w:p>
    <w:p>
      <w:r>
        <w:rPr>
          <w:b/>
        </w:rPr>
        <w:t>E. 1</w:t>
      </w:r>
    </w:p>
    <w:p>
      <w:r>
        <w:t>Le recours n’est pas recevable quand il discute la condamnation de X _________, voire des aspects de litiges qui le divisent d’avec des tiers, points que l’OSAMA n’a, à juste titre, pas traités, puisqu’ils étaient sans connexité avec les modalités d’exécution de la peine à purger ; sous cette réserve, le recourant a procédé régulièrement (art. 72, 79a lit. c, 80 al. 1 lit. a, c, d, 44 al. 1 lit. a, 46, 48, 56, 15 al. 2 lit. b LPJA ; art. 26 al. 1 et 3 LACP).</w:t>
      </w:r>
    </w:p>
    <w:p>
      <w:r>
        <w:rPr>
          <w:b/>
        </w:rPr>
        <w:t>E. 2</w:t>
      </w:r>
    </w:p>
    <w:p>
      <w:r>
        <w:t>A teneur de l’art. 79b al. 1 lit. a et al. 2 lit. a CP, l’OSAMA peut, à la demande du condamné, ordonner l’utilisation d’un appareil électronique fixé au condamné (surveillance électronique) au titre de l’exécution d’une peine privative de liberté de substitution ou d’une peine privative de liberté de 20 jours à douze mois au plus (al. 1 lit. a), s’il n’y a pas lieu de craindre que le requérant s’enfuie ou commette d’autres infractions (al. 2 lit. a). Selon l’art. 79b al. 2 lit. c CP, il faut aussi que le condamné exerce une activité régulière, qu’il s’agisse d’un travail, d’une formation ou d’une occupation, pendant au moins 20 heures semaine, ou qu’il soit possible de l’y assigner.</w:t>
      </w:r>
    </w:p>
    <w:p>
      <w:r>
        <w:rPr>
          <w:b/>
        </w:rPr>
        <w:t>E. 3</w:t>
      </w:r>
    </w:p>
    <w:p>
      <w:r>
        <w:t>D’après la jurisprudence, quiconque souhaite purger de cette manière une peine doit coopérer au constat des faits pertinents (cf. art. 17 et 18 LPJA) en exposant le mieux possible la nature et l’étendue de l’activité qu’il compte exercer (cf. p. ex. ATF 7B_818/2023 du 17 mai 2024 cons. 2.2.1). La Conférence latine des autorités cantonales compétentes en matière d’exécution des peines et des mesures a édicté, le 30 mars 2017, un règlement sur l’exécution des peines de liberté sous surveillance électronique (RS/VS 343.340.1). Applicable en Valais (art. 1 al. 1 de l’ordonnance du 27 septembre 2017 sur la surveillance électronique (RS/VS 343.340), ce règlement a un art. 6 al. 1 lit. a énonçant que le condamné doit fournir, s’il est salarié, une attestation de l’employeur ou un contrat de travail avec indication du lieu et des heures de travail, et un décompte de salaire récent. La lit. b l’astreint à produire, s’il est un indépendant, un document prouvant son activité (p. ex. un décompte AVS ou une attestation d’assurance sociale) et à spécifier son lieu et son horaire de travail.</w:t>
      </w:r>
    </w:p>
    <w:p>
      <w:r>
        <w:t>- 5 -</w:t>
      </w:r>
    </w:p>
    <w:p>
      <w:r>
        <w:rPr>
          <w:b/>
        </w:rPr>
        <w:t>E. 4</w:t>
      </w:r>
    </w:p>
    <w:p>
      <w:r>
        <w:t>Ces normes réglementaires n’évoquent pas la notion d’occupation qui peut inclure l’accomplissement de tâches domestiques ou éducatives, la participation a des programmes d’intégration des chômeurs au marché de l’emploi ou d’autres activités de même nature. Il n’en reste pas moins que le condamné qui veut obtenir une exécution sous surveillance électronique en se prévalant de l’exercice d’une telle occupation doit renseigner l’OSAMA sur celle-ci et que l’obligation qu’il assume à cet égard est analogue à celle que prévoit l’art. 6 du règlement concordataire susvisé dans le cas où le requérant argue avoir un travail (cf. p. ex. BSK StGB, 4. Aufl., C. Koller, art. 79b N 19 en relation avec art. 77b N 10 ss).</w:t>
      </w:r>
    </w:p>
    <w:p>
      <w:r>
        <w:rPr>
          <w:b/>
        </w:rPr>
        <w:t>E. 5</w:t>
      </w:r>
    </w:p>
    <w:p>
      <w:r>
        <w:t>L’OSAMA a estimé que X _________ n’avait pas établi de façon convaincante qu’il pourrait effectivement exercer une activité correspondant aux standards de l’art. 79b al. 2 lit. c CP (2e § de la p. 2 de la décision attaquée). Le recourant a implicitement reconnu l’exactitude de cette appréciation, étant donné qu’il a expliqué, à la p. 2 de son recours, son omission de fournir « un document confirmant un emploi avec une activité d’au moins 20 heures hebdomadaires », par des difficultés afférentes à une opération chirurgicale qu’il avait récemment subie. Il annonçait, en outre, vouloir remédier à cette omission « dans les meilleurs délais pour une validation de votre part ».</w:t>
      </w:r>
    </w:p>
    <w:p>
      <w:r>
        <w:rPr>
          <w:b/>
        </w:rPr>
        <w:t>E. 6</w:t>
      </w:r>
    </w:p>
    <w:p>
      <w:r>
        <w:t>On relève, dans ce contexte, que le recourant avait allégué, à l’appui de sa réclamation, vouloir préparer et étudier, pendant ce laps de temps, des dossiers en vue de faire valoir des droits dans de futurs procès. Dans son recours, il a ajouté que ces dossiers regroupaient des documents remontant à 2014 et qu’il aménageait un bureau pour gérer ces affaires et des mandats dans d’autres activités (p. 8 et 9). Cette assertion renvoyait la notion d’occupation au sens indiqué sous cons. 4, sans que X _________ essayât de démontrer qu’une telle tâche nécessitait au minimum 20 heures par semaine. Ses observations du 9/11 octobre 2024 ne comportent aucun début de preuve à ce propos, malgré ce que le recourant annonçait à la p. 2 de son mémoire du 17 juillet 2024. Force est donc de juger qu’il n’a pas prouvé pouvoir travailler, au sens de l’art. 79b al. 2 lit. c CP, 20 heures par semaine s’il exécutait sa peine sous surveillance électronique En somme, la décision attaquée est conforme à l’art. 79b al. 2 lit. c LPJA, ce qui dispense de vérifier si elle applique correctement sa lit. a, les exigences de ces deux textes étant cumulatives (cf. p. ex. ATF 7B_1039/2023 du 25 mars 2024 cons. 4.1).</w:t>
      </w:r>
    </w:p>
    <w:p>
      <w:r>
        <w:rPr>
          <w:b/>
        </w:rPr>
        <w:t>E. 7</w:t>
      </w:r>
    </w:p>
    <w:p>
      <w:r>
        <w:t>Le recours est rejeté en tant qu’il est recevable (art. 80 al. 1 lit. e et 60 al. 1 LPJA).</w:t>
      </w:r>
    </w:p>
    <w:p>
      <w:r>
        <w:t>- 6 -</w:t>
      </w:r>
    </w:p>
    <w:p>
      <w:r>
        <w:rPr>
          <w:b/>
        </w:rPr>
        <w:t>E. 8</w:t>
      </w:r>
    </w:p>
    <w:p>
      <w:r>
        <w:t>X _________ paiera un émolument de justice de 380 fr. fixé, débours inclus, en fonction des paramètres usuels de la couverture des frais et de l’équivalence des prestations, etc. ; les dépens lui sont refusés (art. 89 al. 1 LPJA ; art. 3 al. 3, 11, 13 al. 1, 25 de la loi du</w:t>
      </w:r>
    </w:p>
    <w:p>
      <w:r>
        <w:rPr>
          <w:b/>
        </w:rPr>
        <w:t>E. 11</w:t>
      </w:r>
    </w:p>
    <w:p>
      <w:r>
        <w:t>février 2009 fixant le tarif des frais et dépens devant les autorités judiciaires ou administratives - LTar ; RS/VS 173.8).</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